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ҚАЗАҚСТАН РЕСПУБЛИКАСЫ ҒЫЛЫМ ЖӘНЕ ЖОҒАРЫ БІЛІМ МИНИСТРЛІГІ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«Қ.И.СƏТБАЕВ АТЫНДАҒЫ ҚАЗАҚ ҰЛТТЫҚ ТЕХНИКАЛЫҚ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ЗЕРТТЕУ УНИВЕРСИТЕТІ»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АҚПАРАТТЫҚ ХАТ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Құрметті әріптестер!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“Қ.И. Сәтбаев атындағы Қазақ ұлттық техникалық зерттеу университеті’’ КеАҚ В095 – «Көлік қызметтері» білім беру бағдарламалары тобының  «Көлік логистикасы» пәні бойынша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2026 жылдың 28 сәуірінде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өтетін XVIII Республикалық пәндік олимпиаданың II кезеңіне қатысуға шақырады.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43" w:firstLine="709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u w:val="none"/>
        </w:rPr>
        <w:t xml:space="preserve">«Көлік логистикасы» пәні бойынша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пәндік олимпиадаға өз жоғары оқу орындарында іріктеу кезеңінен өткен 2–3 курс студенттері (мемлекеттік және орыс тілдерінде білім алушылар) қатыса алады.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43" w:firstLine="709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Бір жоғары оқу орнынан қатысушылар саны пәнді тапсыру тіліне қарамастан 2 адамнан аспауы тиіс.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Жетекші ретінде штаттық оқытушы тағайындалады.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-143" w:firstLine="709"/>
        <w:jc w:val="both"/>
        <w:spacing w:before="0" w:after="0"/>
        <w:shd w:val="clear" w:color="ffffff" w:fill="ffffff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Студенттер арасында олимпиада тест және кейістік есептер түрінде өткізіледі.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Ескерту: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Жеңімпаз жеке есепте анықталады. Командалық қатысу қарастырылмаған және бағаланбайды!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Олимпиаданың жұмыс тілдері: қазақ, орыс.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Білім алушыларды олимпиаданың ІІ кезеңіне ұсыну кезінде жоғары оқу орны 2026 жылғы 16 сәуірден кешіктірмей Қ.И.Сәтбаев атындағы Қазақ Ұлттық техникалық зерттеу университетіне келесі құжаттарды электронды поштасына n.toregali@satbayev.university</w:t>
      </w:r>
      <w:r>
        <w:rPr>
          <w:rFonts w:ascii="Times New Roman" w:hAnsi="Times New Roman" w:cs="Times New Roman" w:eastAsia="Times New Roman"/>
          <w:color w:val="FF0000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FF0000"/>
          <w:sz w:val="28"/>
          <w:u w:val="single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жолдайды: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567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– олимпиаданың І кезеңінің қорытындылары туралы ректордың (проректордың) қолы қойылған хат немесе хаттамамен рәсімделген ЖЖООКБҰ алғалы органының шешімі;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567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u w:val="none"/>
        </w:rPr>
        <w:t xml:space="preserve">– XVIII Республикалық пәндік олимпиаданың ІІ кезеңіне қатысуға өтініш (әрбір қатысушыға жеке толтырылады,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1-Қосымшаны</w:t>
      </w:r>
      <w:r>
        <w:rPr>
          <w:rFonts w:ascii="Times New Roman" w:hAnsi="Times New Roman" w:cs="Times New Roman" w:eastAsia="Times New Roman"/>
          <w:color w:val="000000"/>
          <w:sz w:val="28"/>
          <w:u w:val="none"/>
        </w:rPr>
        <w:t xml:space="preserve"> қараңыз.);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numPr>
          <w:ilvl w:val="0"/>
          <w:numId w:val="1"/>
        </w:numPr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білім алушының жеке куәлігі;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numPr>
          <w:ilvl w:val="0"/>
          <w:numId w:val="1"/>
        </w:numPr>
        <w:spacing w:before="0" w:after="200" w:line="253" w:lineRule="atLeast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оқу орнынан анықтама (білім алушыға);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426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Өтетін орны: Алматы қ, Сәтпаев көшесі 22, Бас оқу корпусы, 4 этаж., 412 ГУК, М. Тынышпаев атындағы «Көлік инженериясы және логистика» Мектебі, Логистика бағыты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426"/>
        <w:jc w:val="both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Анықтама телефоны: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426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Олжабаева Раушан Сериковна,   +7 7014568655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426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Үйсінбек Аңсаған Әбдіқадырұлы,  +708709872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highlight w:val="white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8"/>
        <w:spacing w:before="0" w:after="0" w:line="65" w:lineRule="atLeast"/>
        <w:rPr>
          <w:rFonts w:ascii="Times New Roman" w:hAnsi="Times New Roman" w:cs="Times New Roman" w:eastAsia="Times New Roman"/>
          <w:b/>
          <w:color w:val="000000"/>
          <w:sz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/>
          <w:sz w:val="28"/>
          <w:highlight w:val="white"/>
        </w:rPr>
        <w:t xml:space="preserve">Басқарма мүшесі - Академиялық мәселелер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8"/>
        <w:spacing w:before="0" w:after="0" w:line="65" w:lineRule="atLeast"/>
        <w:rPr>
          <w:rFonts w:ascii="Times New Roman" w:hAnsi="Times New Roman" w:cs="Times New Roman" w:eastAsia="Times New Roman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highlight w:val="white"/>
        </w:rPr>
        <w:t xml:space="preserve">жөніндегі проректор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ab/>
        <w:tab/>
        <w:tab/>
        <w:tab/>
        <w:tab/>
        <w:tab/>
        <w:tab/>
        <w:t xml:space="preserve">      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 С.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Шерубай</w:t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18"/>
          <w:highlight w:val="none"/>
        </w:rPr>
        <w:t xml:space="preserve">Орын: </w:t>
      </w:r>
      <w:r>
        <w:rPr>
          <w:rFonts w:ascii="Times New Roman" w:hAnsi="Times New Roman" w:cs="Times New Roman" w:eastAsia="Times New Roman"/>
          <w:sz w:val="18"/>
          <w:highlight w:val="none"/>
        </w:rPr>
        <w:t xml:space="preserve">Н.</w:t>
      </w:r>
      <w:r>
        <w:rPr>
          <w:rFonts w:ascii="Times New Roman" w:hAnsi="Times New Roman" w:cs="Times New Roman" w:eastAsia="Times New Roman"/>
          <w:sz w:val="18"/>
          <w:highlight w:val="none"/>
        </w:rPr>
        <w:t xml:space="preserve">Төреғали </w:t>
      </w:r>
      <w:r>
        <w:rPr>
          <w:rFonts w:ascii="Times New Roman" w:hAnsi="Times New Roman" w:cs="Times New Roman" w:eastAsia="Times New Roman"/>
          <w:sz w:val="18"/>
          <w:highlight w:val="none"/>
        </w:rPr>
      </w:r>
      <w:r/>
    </w:p>
    <w:p>
      <w:pPr>
        <w:ind w:left="0" w:right="0" w:firstLine="0"/>
        <w:spacing w:before="0" w:after="0" w:line="65" w:lineRule="atLeast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18"/>
          <w:highlight w:val="none"/>
        </w:rPr>
        <w:t xml:space="preserve">Тел.87474352136</w:t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0" w:right="0" w:firstLine="0"/>
        <w:jc w:val="center"/>
        <w:spacing w:before="0" w:after="200"/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</w:r>
      <w:r/>
    </w:p>
    <w:sectPr>
      <w:headerReference w:type="default" r:id="rId9"/>
      <w:headerReference w:type="first" r:id="rId10"/>
      <w:footerReference w:type="default" r:id="rId11"/>
      <w:footerReference w:type="first" r:id="rId12"/>
      <w:headerReference w:type="even" r:id="rId13"/>
      <w:footerReference w:type="even" r:id="rId14"/>
      <w:footnotePr/>
      <w:endnotePr/>
      <w:type w:val="nextPage"/>
      <w:pgSz w:w="11906" w:h="16838" w:orient="portrait"/>
      <w:pgMar w:top="1134" w:right="850" w:bottom="1134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Noto Sans CJK SC">
    <w:panose1 w:val="020B0509000000000004"/>
  </w:font>
  <w:font w:name="Courier New">
    <w:panose1 w:val="02070309020205020404"/>
  </w:font>
  <w:font w:name="Lohit Devanagari">
    <w:panose1 w:val="020B0600000000000000"/>
  </w:font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881"/>
      <w:tblW w:w="0" w:type="auto"/>
      <w:tblLayout w:type="fixed"/>
      <w:tblLook w:val="04A0" w:firstRow="1" w:lastRow="0" w:firstColumn="1" w:lastColumn="0" w:noHBand="0" w:noVBand="1"/>
    </w:tblPr>
    <w:tblGrid>
      <w:gridCol w:w="1809"/>
      <w:gridCol w:w="8362"/>
    </w:tblGrid>
    <w:tr>
      <w:trPr/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1809" w:type="dxa"/>
          <w:textDirection w:val="lrTb"/>
          <w:noWrap w:val="false"/>
        </w:tcPr>
        <w:p>
          <w:pPr>
            <w:contextualSpacing/>
            <w:spacing w:before="0" w:after="0" w:afterAutospacing="0" w:line="283" w:lineRule="atLeast"/>
            <w:rPr>
              <w:rFonts w:ascii="Times New Roman" w:hAnsi="Times New Roman" w:cs="Times New Roman" w:eastAsia="Times New Roman"/>
              <w:color w:val="auto"/>
              <w:lang w:val="ru-RU"/>
            </w:rPr>
          </w:pPr>
          <w:r/>
          <w:r>
            <w:drawing>
              <wp:inline xmlns:pic="http://schemas.openxmlformats.org/drawingml/2006/picture">
                <wp:extent cx="889000" cy="8890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00" cy="8890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  <w:t/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8362" w:type="dxa"/>
          <w:textDirection w:val="lrTb"/>
          <w:noWrap w:val="false"/>
        </w:tcPr>
        <w:p>
          <w:pPr>
            <w:contextualSpacing/>
            <w:spacing w:before="0" w:after="0" w:afterAutospacing="0" w:line="283" w:lineRule="atLeast"/>
            <w:rPr>
              <w:rFonts w:ascii="Times New Roman" w:hAnsi="Times New Roman" w:cs="Times New Roman" w:eastAsia="Times New Roman"/>
              <w:color w:val="auto"/>
              <w:lang w:val="ru-RU"/>
            </w:rPr>
          </w:pPr>
          <w:r>
            <w:rPr>
              <w:rFonts w:ascii="Times New Roman" w:hAnsi="Times New Roman" w:cs="Times New Roman" w:eastAsia="Times New Roman"/>
              <w:color w:val="auto"/>
              <w:sz w:val="20"/>
              <w:lang w:val="ru-RU"/>
            </w:rPr>
          </w:r>
          <w:r>
            <w:rPr>
              <w:rFonts w:ascii="Times New Roman" w:hAnsi="Times New Roman" w:cs="Times New Roman" w:eastAsia="Times New Roman"/>
              <w:sz w:val="20"/>
              <w:lang w:val="ru-RU"/>
            </w:rPr>
            <w:t>Издатель ЭЦП - ҰЛТТЫҚ КУӘЛАНДЫРУШЫ ОРТАЛЫҚ (GOST) 2022, ШЕРУБАЙ СӘУЛЕ, Некоммерческое акционерное общество "Казахский национальный исследовательский технический университет имени К.И. Сатпаева", BIN150140008602</w:t>
          </w:r>
          <w:r>
            <w:rPr>
              <w:rFonts w:ascii="Times New Roman" w:hAnsi="Times New Roman" w:cs="Times New Roman" w:eastAsia="Times New Roman"/>
              <w:color w:val="auto"/>
              <w:sz w:val="20"/>
              <w:lang w:val="ru-RU"/>
            </w:rPr>
          </w:r>
          <w:r/>
        </w:p>
      </w:tc>
    </w:tr>
  </w:tbl>
  <w:p>
    <w:r/>
    <w:r/>
  </w:p>
  <w:p>
    <w:pPr>
      <w:pStyle w:val="86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881"/>
      <w:tblW w:w="0" w:type="auto"/>
      <w:tblLayout w:type="fixed"/>
      <w:tblLook w:val="04A0" w:firstRow="1" w:lastRow="0" w:firstColumn="1" w:lastColumn="0" w:noHBand="0" w:noVBand="1"/>
    </w:tblPr>
    <w:tblGrid>
      <w:gridCol w:w="1809"/>
      <w:gridCol w:w="8362"/>
    </w:tblGrid>
    <w:tr>
      <w:trPr/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1809" w:type="dxa"/>
          <w:textDirection w:val="lrTb"/>
          <w:noWrap w:val="false"/>
        </w:tcPr>
        <w:p>
          <w:pPr>
            <w:contextualSpacing/>
            <w:spacing w:before="0" w:after="0" w:afterAutospacing="0" w:line="283" w:lineRule="atLeast"/>
            <w:rPr>
              <w:rFonts w:ascii="Times New Roman" w:hAnsi="Times New Roman" w:cs="Times New Roman" w:eastAsia="Times New Roman"/>
              <w:color w:val="auto"/>
              <w:lang w:val="ru-RU"/>
            </w:rPr>
          </w:pPr>
          <w:r/>
          <w:r>
            <w:drawing>
              <wp:inline xmlns:pic="http://schemas.openxmlformats.org/drawingml/2006/picture">
                <wp:extent cx="889000" cy="8890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00" cy="8890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  <w:t/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8362" w:type="dxa"/>
          <w:textDirection w:val="lrTb"/>
          <w:noWrap w:val="false"/>
        </w:tcPr>
        <w:p>
          <w:pPr>
            <w:contextualSpacing/>
            <w:spacing w:before="0" w:after="0" w:afterAutospacing="0" w:line="283" w:lineRule="atLeast"/>
            <w:rPr>
              <w:rFonts w:ascii="Times New Roman" w:hAnsi="Times New Roman" w:cs="Times New Roman" w:eastAsia="Times New Roman"/>
              <w:color w:val="auto"/>
              <w:lang w:val="ru-RU"/>
            </w:rPr>
          </w:pPr>
          <w:r>
            <w:rPr>
              <w:rFonts w:ascii="Times New Roman" w:hAnsi="Times New Roman" w:cs="Times New Roman" w:eastAsia="Times New Roman"/>
              <w:color w:val="auto"/>
              <w:sz w:val="20"/>
              <w:lang w:val="ru-RU"/>
            </w:rPr>
          </w:r>
          <w:r>
            <w:rPr>
              <w:rFonts w:ascii="Times New Roman" w:hAnsi="Times New Roman" w:cs="Times New Roman" w:eastAsia="Times New Roman"/>
              <w:sz w:val="20"/>
              <w:lang w:val="ru-RU"/>
            </w:rPr>
            <w:t>Издатель ЭЦП - ҰЛТТЫҚ КУӘЛАНДЫРУШЫ ОРТАЛЫҚ (GOST) 2022, ШЕРУБАЙ СӘУЛЕ, Некоммерческое акционерное общество "Казахский национальный исследовательский технический университет имени К.И. Сатпаева", BIN150140008602</w:t>
          </w:r>
          <w:r>
            <w:rPr>
              <w:rFonts w:ascii="Times New Roman" w:hAnsi="Times New Roman" w:cs="Times New Roman" w:eastAsia="Times New Roman"/>
              <w:color w:val="auto"/>
              <w:sz w:val="20"/>
              <w:lang w:val="ru-RU"/>
            </w:rPr>
          </w:r>
          <w:r/>
        </w:p>
      </w:tc>
    </w:tr>
  </w:tbl>
  <w:p>
    <w:r/>
    <w:r/>
  </w:p>
  <w:p>
    <w:pPr>
      <w:pStyle w:val="865"/>
    </w:pPr>
    <w:r/>
    <w:r/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</w:pPr>
    <w:r/>
    <w:r/>
  </w:p>
  <w:p>
    <w:pPr>
      <w:pStyle w:val="864"/>
      <w:rPr>
        <w:highlight w:val="none"/>
      </w:rPr>
    </w:pPr>
    <w:r>
      <w:rPr>
        <w:highlight w:val="none"/>
      </w:rPr>
    </w:r>
    <w:r/>
  </w:p>
  <w:p>
    <w:pPr>
      <w:pStyle w:val="864"/>
    </w:pPr>
    <w:r>
      <w:rPr>
        <w:highlight w:val="none"/>
      </w:rPr>
    </w:r>
    <w:r>
      <mc:AlternateContent>
        <mc:Choice Requires="wpg">
          <w:drawing>
            <wp:anchor xmlns:wp="http://schemas.openxmlformats.org/drawingml/2006/wordprocessingDrawing" distT="0" distB="0" distL="115200" distR="115200" simplePos="0" relativeHeight="7168" behindDoc="1" locked="0" layoutInCell="1" allowOverlap="1">
              <wp:simplePos x="0" y="0"/>
              <wp:positionH relativeFrom="column">
                <wp:posOffset>4349262</wp:posOffset>
              </wp:positionH>
              <wp:positionV relativeFrom="paragraph">
                <wp:posOffset>4952795</wp:posOffset>
              </wp:positionV>
              <wp:extent cx="2492715" cy="5443950"/>
              <wp:effectExtent l="0" t="0" r="0" b="0"/>
              <wp:wrapNone/>
              <wp:docPr id="1" name="" hidden="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>
                        <a:picLocks noChangeAspect="1"/>
                      </pic:cNvPicPr>
                      <pic:nvPr isPhoto="0" userDrawn="0"/>
                    </pic:nvPicPr>
                    <pic:blipFill>
                      <a:blip r:embed="rId1"/>
                      <a:srcRect l="0" t="0" r="58038" b="1191"/>
                      <a:stretch/>
                    </pic:blipFill>
                    <pic:spPr bwMode="auto">
                      <a:xfrm flipH="0" flipV="0">
                        <a:off x="0" y="0"/>
                        <a:ext cx="2492713" cy="54439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1pt;mso-wrap-distance-top:0.0pt;mso-wrap-distance-right:9.1pt;mso-wrap-distance-bottom:0.0pt;z-index:-7168;o:allowoverlap:true;o:allowincell:true;mso-position-horizontal-relative:text;margin-left:342.5pt;mso-position-horizontal:absolute;mso-position-vertical-relative:text;margin-top:390.0pt;mso-position-vertical:absolute;width:196.3pt;height:428.7pt;" stroked="false">
              <v:path textboxrect="0,0,0,0"/>
              <v:imagedata r:id="rId1" o:title=""/>
            </v:shape>
          </w:pict>
        </mc:Fallback>
      </mc:AlternateContent>
    </w:r>
    <w:r>
      <w:rPr>
        <w:highlight w:val="none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after="0" w:afterAutospacing="0" w:line="120" w:lineRule="auto"/>
    </w:pPr>
    <w:r/>
    <w:r/>
  </w:p>
  <w:p>
    <w:pPr>
      <w:spacing w:after="0" w:afterAutospacing="0" w:line="120" w:lineRule="auto"/>
    </w:pPr>
    <w:r/>
    <w:r/>
  </w:p>
  <w:p>
    <w:pPr>
      <w:spacing w:after="0" w:afterAutospacing="0" w:line="120" w:lineRule="auto"/>
      <w:rPr>
        <w:highlight w:val="none"/>
      </w:rPr>
    </w:pPr>
    <w:r>
      <w:rPr>
        <w:sz w:val="6"/>
      </w:rPr>
    </w:r>
    <w:r>
      <mc:AlternateContent>
        <mc:Choice Requires="wpg">
          <w:drawing>
            <wp:inline xmlns:wp="http://schemas.openxmlformats.org/drawingml/2006/wordprocessingDrawing" distT="0" distB="0" distL="0" distR="0">
              <wp:extent cx="6633431" cy="1795674"/>
              <wp:effectExtent l="0" t="0" r="0" b="0"/>
              <wp:docPr id="2" name="" hidden="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" hidden="0"/>
                      <pic:cNvPicPr>
                        <a:picLocks noChangeAspect="1"/>
                      </pic:cNvPicPr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6633430" cy="17956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mso-wrap-distance-left:0.0pt;mso-wrap-distance-top:0.0pt;mso-wrap-distance-right:0.0pt;mso-wrap-distance-bottom:0.0pt;width:522.3pt;height:141.4pt;" stroked="false">
              <v:path textboxrect="0,0,0,0"/>
              <v:imagedata r:id="rId1" o:title=""/>
            </v:shape>
          </w:pict>
        </mc:Fallback>
      </mc:AlternateContent>
    </w:r>
    <w:r>
      <w:rPr>
        <w:sz w:val="6"/>
        <w:highlight w:val="none"/>
      </w:rPr>
    </w:r>
    <w:r/>
  </w:p>
  <w:p>
    <w:pPr>
      <w:spacing w:after="0" w:afterAutospacing="0" w:line="120" w:lineRule="auto"/>
      <w:rPr>
        <w:sz w:val="16"/>
        <w:highlight w:val="none"/>
      </w:rPr>
    </w:pPr>
    <w:r>
      <w:rPr>
        <w:sz w:val="16"/>
        <w:highlight w:val="none"/>
      </w:rPr>
    </w:r>
    <w:r>
      <w:rPr>
        <w:sz w:val="16"/>
        <w:highlight w:val="none"/>
      </w:rPr>
    </w:r>
    <w:r/>
  </w:p>
  <w:p>
    <w:pPr>
      <w:pStyle w:val="820"/>
      <w:contextualSpacing/>
      <w:spacing w:before="0" w:after="0" w:afterAutospacing="0" w:line="283" w:lineRule="atLeast"/>
      <w:rPr>
        <w:rFonts w:ascii="Times New Roman" w:hAnsi="Times New Roman" w:cs="Times New Roman" w:eastAsia="Times New Roman"/>
        <w:color w:val="auto"/>
        <w:highlight w:val="none"/>
      </w:rPr>
    </w:pPr>
    <w:r>
      <w:rPr>
        <w:rFonts w:ascii="Times New Roman" w:hAnsi="Times New Roman" w:cs="Times New Roman" w:eastAsia="Times New Roman"/>
        <w:color w:val="auto"/>
        <w:sz w:val="16"/>
        <w:szCs w:val="28"/>
        <w:lang w:val="ru-RU"/>
      </w:rPr>
    </w:r>
    <w:r>
      <w:rPr>
        <w:rFonts w:ascii="Times New Roman" w:hAnsi="Times New Roman" w:cs="Times New Roman" w:eastAsia="Times New Roman"/>
        <w:color w:val="auto"/>
        <w:sz w:val="20"/>
        <w:szCs w:val="28"/>
        <w:lang w:val="ru-RU"/>
      </w:rPr>
      <w:t xml:space="preserve">№ </w:t>
    </w:r>
    <w:r>
      <w:rPr>
        <w:rFonts w:ascii="Times New Roman" w:hAnsi="Times New Roman" w:cs="Times New Roman" w:eastAsia="Times New Roman"/>
        <w:color w:val="auto"/>
        <w:sz w:val="20"/>
        <w:lang w:val="ru-RU"/>
      </w:rPr>
      <w:t>04-11-17/2271</w:t>
    </w:r>
    <w:r/>
  </w:p>
  <w:p>
    <w:pPr>
      <w:contextualSpacing/>
      <w:spacing w:before="0" w:after="0" w:afterAutospacing="0" w:line="283" w:lineRule="atLeast"/>
      <w:rPr>
        <w:rFonts w:ascii="Times New Roman" w:hAnsi="Times New Roman" w:cs="Times New Roman" w:eastAsia="Times New Roman"/>
        <w:color w:val="auto"/>
        <w:highlight w:val="none"/>
        <w:lang w:val="ru-RU"/>
      </w:rPr>
    </w:pPr>
    <w:r>
      <w:rPr>
        <w:rFonts w:ascii="Times New Roman" w:hAnsi="Times New Roman" w:cs="Times New Roman" w:eastAsia="Times New Roman"/>
        <w:color w:val="auto"/>
        <w:sz w:val="20"/>
        <w:highlight w:val="none"/>
        <w:lang w:val="ru-RU"/>
      </w:rPr>
    </w:r>
    <w:r>
      <w:rPr>
        <w:rFonts w:ascii="Times New Roman" w:hAnsi="Times New Roman" w:cs="Times New Roman" w:eastAsia="Times New Roman"/>
        <w:color w:val="auto"/>
        <w:sz w:val="20"/>
        <w:lang w:val="ru-RU"/>
      </w:rPr>
      <w:t>09.04.2026</w:t>
    </w:r>
    <w:r>
      <w:rPr>
        <w:rFonts w:ascii="Times New Roman" w:hAnsi="Times New Roman" w:cs="Times New Roman" w:eastAsia="Times New Roman"/>
        <w:color w:val="auto"/>
        <w:sz w:val="16"/>
        <w:highlight w:val="none"/>
        <w:lang w:val="ru-RU"/>
      </w:rPr>
    </w:r>
    <w:r/>
  </w:p>
  <w:p>
    <w:pPr>
      <w:spacing w:after="0" w:afterAutospacing="0" w:line="120" w:lineRule="auto"/>
      <w:rPr>
        <w:highlight w:val="none"/>
      </w:rPr>
    </w:pPr>
    <w:r>
      <w:rPr>
        <w:highlight w:val="none"/>
      </w:rPr>
    </w:r>
    <w:r>
      <w:rPr>
        <w:highlight w:val="none"/>
      </w:rPr>
    </w:r>
    <w:r/>
  </w:p>
  <w:p>
    <w:pPr>
      <w:spacing w:after="0" w:afterAutospacing="0" w:line="120" w:lineRule="auto"/>
      <w:rPr>
        <w:sz w:val="6"/>
        <w:highlight w:val="none"/>
      </w:rPr>
    </w:pPr>
    <w:r>
      <w:rPr>
        <w:sz w:val="6"/>
        <w:highlight w:val="none"/>
      </w:rPr>
    </w:r>
    <w:r>
      <mc:AlternateContent>
        <mc:Choice Requires="wpg">
          <w:drawing>
            <wp:anchor xmlns:wp="http://schemas.openxmlformats.org/drawingml/2006/wordprocessingDrawing" distT="0" distB="0" distL="115200" distR="115200" simplePos="0" relativeHeight="32768" behindDoc="1" locked="0" layoutInCell="1" allowOverlap="1">
              <wp:simplePos x="0" y="0"/>
              <wp:positionH relativeFrom="column">
                <wp:posOffset>4349994</wp:posOffset>
              </wp:positionH>
              <wp:positionV relativeFrom="paragraph">
                <wp:posOffset>2918410</wp:posOffset>
              </wp:positionV>
              <wp:extent cx="2492715" cy="5443950"/>
              <wp:effectExtent l="0" t="0" r="0" b="0"/>
              <wp:wrapNone/>
              <wp:docPr id="3" name="" hidden="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" hidden="0"/>
                      <pic:cNvPicPr>
                        <a:picLocks noChangeAspect="1"/>
                      </pic:cNvPicPr>
                      <pic:nvPr isPhoto="0" userDrawn="0"/>
                    </pic:nvPicPr>
                    <pic:blipFill>
                      <a:blip r:embed="rId2"/>
                      <a:srcRect l="0" t="0" r="58038" b="1191"/>
                      <a:stretch/>
                    </pic:blipFill>
                    <pic:spPr bwMode="auto">
                      <a:xfrm flipH="0" flipV="0">
                        <a:off x="0" y="0"/>
                        <a:ext cx="2492712" cy="54439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mso-wrap-distance-left:9.1pt;mso-wrap-distance-top:0.0pt;mso-wrap-distance-right:9.1pt;mso-wrap-distance-bottom:0.0pt;z-index:-32768;o:allowoverlap:true;o:allowincell:true;mso-position-horizontal-relative:text;margin-left:342.5pt;mso-position-horizontal:absolute;mso-position-vertical-relative:text;margin-top:229.8pt;mso-position-vertical:absolute;width:196.3pt;height:428.7pt;" stroked="false">
              <v:path textboxrect="0,0,0,0"/>
              <v:imagedata r:id="rId2" o:title=""/>
            </v:shape>
          </w:pict>
        </mc:Fallback>
      </mc:AlternateContent>
    </w:r>
    <w:r>
      <w:rPr>
        <w:sz w:val="6"/>
        <w:highlight w:val="none"/>
      </w:rPr>
    </w:r>
    <w:r/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27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647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367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087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807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527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247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967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687" w:hanging="360"/>
      </w:pPr>
      <w:rPr>
        <w:rFonts w:ascii="Wingdings" w:hAnsi="Wingdings" w:cs="Wingdings" w:eastAsia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7">
    <w:name w:val="table of figures"/>
    <w:basedOn w:val="820"/>
    <w:next w:val="820"/>
    <w:uiPriority w:val="99"/>
    <w:unhideWhenUsed/>
    <w:pPr>
      <w:spacing w:after="0" w:afterAutospacing="0"/>
    </w:pPr>
  </w:style>
  <w:style w:type="character" w:styleId="818">
    <w:name w:val="footnote reference"/>
    <w:basedOn w:val="853"/>
    <w:uiPriority w:val="99"/>
    <w:unhideWhenUsed/>
    <w:rPr>
      <w:vertAlign w:val="superscript"/>
    </w:rPr>
  </w:style>
  <w:style w:type="character" w:styleId="819">
    <w:name w:val="endnote reference"/>
    <w:basedOn w:val="853"/>
    <w:uiPriority w:val="99"/>
    <w:semiHidden/>
    <w:unhideWhenUsed/>
    <w:rPr>
      <w:vertAlign w:val="superscript"/>
    </w:rPr>
  </w:style>
  <w:style w:type="paragraph" w:styleId="820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821">
    <w:name w:val="Heading 1"/>
    <w:basedOn w:val="820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822">
    <w:name w:val="Heading 2"/>
    <w:basedOn w:val="8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823">
    <w:name w:val="Heading 3"/>
    <w:basedOn w:val="8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824">
    <w:name w:val="Heading 4"/>
    <w:basedOn w:val="8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825">
    <w:name w:val="Heading 5"/>
    <w:basedOn w:val="8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826">
    <w:name w:val="Heading 6"/>
    <w:basedOn w:val="8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827">
    <w:name w:val="Heading 7"/>
    <w:basedOn w:val="8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828">
    <w:name w:val="Heading 8"/>
    <w:basedOn w:val="8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829">
    <w:name w:val="Heading 9"/>
    <w:basedOn w:val="8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30">
    <w:name w:val="Footnote Characters"/>
    <w:basedOn w:val="853"/>
    <w:uiPriority w:val="99"/>
    <w:unhideWhenUsed/>
    <w:qFormat/>
    <w:rPr>
      <w:vertAlign w:val="superscript"/>
    </w:rPr>
  </w:style>
  <w:style w:type="character" w:styleId="831">
    <w:name w:val="Footnote Anchor"/>
    <w:rPr>
      <w:vertAlign w:val="superscript"/>
    </w:rPr>
  </w:style>
  <w:style w:type="character" w:styleId="832">
    <w:name w:val="Endnote Characters"/>
    <w:basedOn w:val="853"/>
    <w:uiPriority w:val="99"/>
    <w:semiHidden/>
    <w:unhideWhenUsed/>
    <w:qFormat/>
    <w:rPr>
      <w:vertAlign w:val="superscript"/>
    </w:rPr>
  </w:style>
  <w:style w:type="character" w:styleId="833">
    <w:name w:val="Endnote Anchor"/>
    <w:rPr>
      <w:vertAlign w:val="superscript"/>
    </w:rPr>
  </w:style>
  <w:style w:type="character" w:styleId="834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835">
    <w:name w:val="Heading 2 Char"/>
    <w:uiPriority w:val="9"/>
    <w:qFormat/>
    <w:rPr>
      <w:rFonts w:ascii="Arial" w:hAnsi="Arial" w:cs="Arial" w:eastAsia="Arial"/>
      <w:sz w:val="34"/>
    </w:rPr>
  </w:style>
  <w:style w:type="character" w:styleId="836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837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838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839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840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841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842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843">
    <w:name w:val="Title Char"/>
    <w:uiPriority w:val="10"/>
    <w:qFormat/>
    <w:rPr>
      <w:sz w:val="48"/>
      <w:szCs w:val="48"/>
    </w:rPr>
  </w:style>
  <w:style w:type="character" w:styleId="844">
    <w:name w:val="Subtitle Char"/>
    <w:uiPriority w:val="11"/>
    <w:qFormat/>
    <w:rPr>
      <w:sz w:val="24"/>
      <w:szCs w:val="24"/>
    </w:rPr>
  </w:style>
  <w:style w:type="character" w:styleId="845">
    <w:name w:val="Quote Char"/>
    <w:uiPriority w:val="29"/>
    <w:qFormat/>
    <w:rPr>
      <w:i/>
    </w:rPr>
  </w:style>
  <w:style w:type="character" w:styleId="846">
    <w:name w:val="Intense Quote Char"/>
    <w:uiPriority w:val="30"/>
    <w:qFormat/>
    <w:rPr>
      <w:i/>
    </w:rPr>
  </w:style>
  <w:style w:type="character" w:styleId="847">
    <w:name w:val="Header Char"/>
    <w:uiPriority w:val="99"/>
    <w:qFormat/>
  </w:style>
  <w:style w:type="character" w:styleId="848">
    <w:name w:val="Footer Char"/>
    <w:uiPriority w:val="99"/>
    <w:qFormat/>
  </w:style>
  <w:style w:type="character" w:styleId="849">
    <w:name w:val="Caption Char"/>
    <w:uiPriority w:val="99"/>
    <w:qFormat/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character" w:styleId="851">
    <w:name w:val="Footnote Text Char"/>
    <w:uiPriority w:val="99"/>
    <w:qFormat/>
    <w:rPr>
      <w:sz w:val="18"/>
    </w:rPr>
  </w:style>
  <w:style w:type="character" w:styleId="852">
    <w:name w:val="Endnote Text Char"/>
    <w:uiPriority w:val="99"/>
    <w:qFormat/>
    <w:rPr>
      <w:sz w:val="20"/>
    </w:rPr>
  </w:style>
  <w:style w:type="character" w:styleId="853" w:default="1">
    <w:name w:val="Default Paragraph Font"/>
    <w:uiPriority w:val="1"/>
    <w:semiHidden/>
    <w:unhideWhenUsed/>
    <w:qFormat/>
  </w:style>
  <w:style w:type="paragraph" w:styleId="854">
    <w:name w:val="Heading"/>
    <w:basedOn w:val="820"/>
    <w:next w:val="855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855">
    <w:name w:val="Body Text"/>
    <w:basedOn w:val="820"/>
    <w:pPr>
      <w:spacing w:before="0" w:after="140" w:line="276" w:lineRule="auto"/>
    </w:pPr>
  </w:style>
  <w:style w:type="paragraph" w:styleId="856">
    <w:name w:val="List"/>
    <w:basedOn w:val="855"/>
    <w:rPr>
      <w:rFonts w:cs="Lohit Devanagari"/>
    </w:rPr>
  </w:style>
  <w:style w:type="paragraph" w:styleId="857">
    <w:name w:val="Caption"/>
    <w:basedOn w:val="8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58">
    <w:name w:val="Index"/>
    <w:basedOn w:val="820"/>
    <w:qFormat/>
    <w:pPr>
      <w:suppressLineNumbers/>
    </w:pPr>
    <w:rPr>
      <w:rFonts w:cs="Lohit Devanagari"/>
    </w:rPr>
  </w:style>
  <w:style w:type="paragraph" w:styleId="859">
    <w:name w:val="Title"/>
    <w:basedOn w:val="82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60">
    <w:name w:val="Subtitle"/>
    <w:basedOn w:val="820"/>
    <w:uiPriority w:val="11"/>
    <w:qFormat/>
    <w:pPr>
      <w:spacing w:before="200" w:after="200"/>
    </w:pPr>
    <w:rPr>
      <w:sz w:val="24"/>
      <w:szCs w:val="24"/>
    </w:rPr>
  </w:style>
  <w:style w:type="paragraph" w:styleId="861">
    <w:name w:val="Quote"/>
    <w:basedOn w:val="820"/>
    <w:uiPriority w:val="29"/>
    <w:qFormat/>
    <w:pPr>
      <w:ind w:left="720" w:right="720" w:firstLine="0"/>
    </w:pPr>
    <w:rPr>
      <w:i/>
    </w:rPr>
  </w:style>
  <w:style w:type="paragraph" w:styleId="862">
    <w:name w:val="Intense Quote"/>
    <w:basedOn w:val="820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63">
    <w:name w:val="Header and Footer"/>
    <w:basedOn w:val="820"/>
    <w:qFormat/>
  </w:style>
  <w:style w:type="paragraph" w:styleId="864">
    <w:name w:val="Header"/>
    <w:basedOn w:val="82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65">
    <w:name w:val="Footer"/>
    <w:basedOn w:val="82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66">
    <w:name w:val="footnote text"/>
    <w:basedOn w:val="820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67">
    <w:name w:val="endnote text"/>
    <w:basedOn w:val="82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68">
    <w:name w:val="toc 1"/>
    <w:basedOn w:val="820"/>
    <w:uiPriority w:val="39"/>
    <w:unhideWhenUsed/>
    <w:pPr>
      <w:ind w:left="0" w:right="0" w:firstLine="0"/>
      <w:spacing w:before="0" w:after="57"/>
    </w:pPr>
  </w:style>
  <w:style w:type="paragraph" w:styleId="869">
    <w:name w:val="toc 2"/>
    <w:basedOn w:val="820"/>
    <w:uiPriority w:val="39"/>
    <w:unhideWhenUsed/>
    <w:pPr>
      <w:ind w:left="283" w:right="0" w:firstLine="0"/>
      <w:spacing w:before="0" w:after="57"/>
    </w:pPr>
  </w:style>
  <w:style w:type="paragraph" w:styleId="870">
    <w:name w:val="toc 3"/>
    <w:basedOn w:val="820"/>
    <w:uiPriority w:val="39"/>
    <w:unhideWhenUsed/>
    <w:pPr>
      <w:ind w:left="567" w:right="0" w:firstLine="0"/>
      <w:spacing w:before="0" w:after="57"/>
    </w:pPr>
  </w:style>
  <w:style w:type="paragraph" w:styleId="871">
    <w:name w:val="toc 4"/>
    <w:basedOn w:val="820"/>
    <w:uiPriority w:val="39"/>
    <w:unhideWhenUsed/>
    <w:pPr>
      <w:ind w:left="850" w:right="0" w:firstLine="0"/>
      <w:spacing w:before="0" w:after="57"/>
    </w:pPr>
  </w:style>
  <w:style w:type="paragraph" w:styleId="872">
    <w:name w:val="toc 5"/>
    <w:basedOn w:val="820"/>
    <w:uiPriority w:val="39"/>
    <w:unhideWhenUsed/>
    <w:pPr>
      <w:ind w:left="1134" w:right="0" w:firstLine="0"/>
      <w:spacing w:before="0" w:after="57"/>
    </w:pPr>
  </w:style>
  <w:style w:type="paragraph" w:styleId="873">
    <w:name w:val="toc 6"/>
    <w:basedOn w:val="820"/>
    <w:uiPriority w:val="39"/>
    <w:unhideWhenUsed/>
    <w:pPr>
      <w:ind w:left="1417" w:right="0" w:firstLine="0"/>
      <w:spacing w:before="0" w:after="57"/>
    </w:pPr>
  </w:style>
  <w:style w:type="paragraph" w:styleId="874">
    <w:name w:val="toc 7"/>
    <w:basedOn w:val="820"/>
    <w:uiPriority w:val="39"/>
    <w:unhideWhenUsed/>
    <w:pPr>
      <w:ind w:left="1701" w:right="0" w:firstLine="0"/>
      <w:spacing w:before="0" w:after="57"/>
    </w:pPr>
  </w:style>
  <w:style w:type="paragraph" w:styleId="875">
    <w:name w:val="toc 8"/>
    <w:basedOn w:val="820"/>
    <w:uiPriority w:val="39"/>
    <w:unhideWhenUsed/>
    <w:pPr>
      <w:ind w:left="1984" w:right="0" w:firstLine="0"/>
      <w:spacing w:before="0" w:after="57"/>
    </w:pPr>
  </w:style>
  <w:style w:type="paragraph" w:styleId="876">
    <w:name w:val="toc 9"/>
    <w:basedOn w:val="820"/>
    <w:uiPriority w:val="39"/>
    <w:unhideWhenUsed/>
    <w:pPr>
      <w:ind w:left="2268" w:right="0" w:firstLine="0"/>
      <w:spacing w:before="0" w:after="57"/>
    </w:pPr>
  </w:style>
  <w:style w:type="paragraph" w:styleId="877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878">
    <w:name w:val="No Spacing"/>
    <w:basedOn w:val="820"/>
    <w:uiPriority w:val="1"/>
    <w:qFormat/>
    <w:pPr>
      <w:spacing w:before="0" w:after="0" w:line="240" w:lineRule="auto"/>
    </w:pPr>
  </w:style>
  <w:style w:type="paragraph" w:styleId="879">
    <w:name w:val="List Paragraph"/>
    <w:basedOn w:val="820"/>
    <w:uiPriority w:val="34"/>
    <w:qFormat/>
    <w:pPr>
      <w:contextualSpacing/>
      <w:ind w:left="720" w:firstLine="0"/>
      <w:spacing w:before="0" w:after="200"/>
    </w:pPr>
  </w:style>
  <w:style w:type="numbering" w:styleId="880" w:default="1">
    <w:name w:val="No List"/>
    <w:uiPriority w:val="99"/>
    <w:semiHidden/>
    <w:unhideWhenUsed/>
    <w:qFormat/>
  </w:style>
  <w:style w:type="table" w:styleId="88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8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8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91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91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91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91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91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91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92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92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92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92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92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92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92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92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92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93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4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94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94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94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94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95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95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6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6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6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6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7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7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7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7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7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7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7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7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7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8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98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98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98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98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98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98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98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98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98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99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99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99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99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99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99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99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99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99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99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100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00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100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100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100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100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100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Муханова Гульмира Самудиновна</cp:lastModifiedBy>
  <cp:revision>24</cp:revision>
  <dcterms:modified xsi:type="dcterms:W3CDTF">2026-04-09T07:31:25Z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